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hAnsi="宋体" w:eastAsia="方正仿宋_GBK" w:cs="方正仿宋_GBK"/>
          <w:kern w:val="0"/>
          <w:sz w:val="32"/>
          <w:szCs w:val="32"/>
          <w:lang w:val="en-US" w:eastAsia="zh-CN"/>
        </w:rPr>
      </w:pPr>
      <w:r>
        <w:rPr>
          <w:rFonts w:hint="eastAsia" w:ascii="黑体" w:hAnsi="黑体" w:eastAsia="黑体" w:cs="黑体"/>
          <w:kern w:val="0"/>
          <w:sz w:val="32"/>
          <w:szCs w:val="32"/>
          <w:lang w:val="en-US" w:eastAsia="zh-CN"/>
        </w:rPr>
        <w:t>附表</w:t>
      </w:r>
    </w:p>
    <w:p>
      <w:pPr>
        <w:pStyle w:val="4"/>
        <w:jc w:val="center"/>
        <w:rPr>
          <w:rFonts w:hint="eastAsia" w:hAnsi="宋体" w:eastAsia="方正仿宋_GBK" w:cs="方正仿宋_GBK"/>
          <w:kern w:val="0"/>
          <w:sz w:val="30"/>
          <w:szCs w:val="30"/>
          <w:lang w:val="en-US" w:eastAsia="zh-CN"/>
        </w:rPr>
      </w:pPr>
      <w:r>
        <w:rPr>
          <w:rFonts w:hint="eastAsia" w:ascii="Times New Roman" w:hAnsi="Times New Roman"/>
          <w:b/>
          <w:sz w:val="30"/>
          <w:szCs w:val="30"/>
          <w:lang w:val="en-US" w:eastAsia="zh-CN"/>
        </w:rPr>
        <w:t>拟试点</w:t>
      </w:r>
      <w:r>
        <w:rPr>
          <w:rFonts w:ascii="Times New Roman" w:hAnsi="Times New Roman" w:eastAsia="宋体"/>
          <w:b/>
          <w:sz w:val="30"/>
          <w:szCs w:val="30"/>
        </w:rPr>
        <w:t>经营危险废物类</w:t>
      </w:r>
      <w:r>
        <w:rPr>
          <w:rFonts w:hint="eastAsia" w:ascii="Times New Roman" w:hAnsi="Times New Roman" w:eastAsia="宋体"/>
          <w:b/>
          <w:sz w:val="30"/>
          <w:szCs w:val="30"/>
          <w:lang w:eastAsia="zh-CN"/>
        </w:rPr>
        <w:t>别</w:t>
      </w:r>
      <w:r>
        <w:rPr>
          <w:rFonts w:ascii="Times New Roman" w:hAnsi="Times New Roman" w:eastAsia="宋体"/>
          <w:b/>
          <w:sz w:val="30"/>
          <w:szCs w:val="30"/>
        </w:rPr>
        <w:t>、</w:t>
      </w:r>
      <w:r>
        <w:rPr>
          <w:rFonts w:hint="eastAsia" w:ascii="Times New Roman" w:hAnsi="Times New Roman" w:eastAsia="宋体"/>
          <w:b/>
          <w:sz w:val="30"/>
          <w:szCs w:val="30"/>
          <w:lang w:eastAsia="zh-CN"/>
        </w:rPr>
        <w:t>代码</w:t>
      </w:r>
      <w:bookmarkStart w:id="0" w:name="_GoBack"/>
      <w:bookmarkEnd w:id="0"/>
      <w:r>
        <w:rPr>
          <w:rFonts w:ascii="Times New Roman" w:hAnsi="Times New Roman" w:eastAsia="宋体"/>
          <w:b/>
          <w:sz w:val="30"/>
          <w:szCs w:val="30"/>
        </w:rPr>
        <w:t>及规模表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290"/>
        <w:gridCol w:w="2473"/>
        <w:gridCol w:w="7526"/>
        <w:gridCol w:w="1103"/>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shd w:val="clear" w:color="auto" w:fill="A9A3BF"/>
            <w:noWrap w:val="0"/>
            <w:vAlign w:val="center"/>
          </w:tcPr>
          <w:p>
            <w:pPr>
              <w:spacing w:line="380" w:lineRule="exact"/>
              <w:jc w:val="center"/>
              <w:rPr>
                <w:rFonts w:ascii="Times New Roman" w:hAnsi="Times New Roman"/>
                <w:szCs w:val="21"/>
              </w:rPr>
            </w:pPr>
            <w:r>
              <w:rPr>
                <w:rFonts w:ascii="Times New Roman" w:hAnsi="Times New Roman"/>
                <w:szCs w:val="21"/>
              </w:rPr>
              <w:t>危废类别</w:t>
            </w:r>
          </w:p>
        </w:tc>
        <w:tc>
          <w:tcPr>
            <w:tcW w:w="433" w:type="pct"/>
            <w:shd w:val="clear" w:color="auto" w:fill="A9A3BF"/>
            <w:noWrap w:val="0"/>
            <w:vAlign w:val="center"/>
          </w:tcPr>
          <w:p>
            <w:pPr>
              <w:spacing w:line="380" w:lineRule="exact"/>
              <w:jc w:val="center"/>
              <w:rPr>
                <w:rFonts w:ascii="Times New Roman" w:hAnsi="Times New Roman"/>
                <w:szCs w:val="21"/>
              </w:rPr>
            </w:pPr>
            <w:r>
              <w:rPr>
                <w:rFonts w:ascii="Times New Roman" w:hAnsi="Times New Roman"/>
                <w:szCs w:val="21"/>
              </w:rPr>
              <w:t>行业</w:t>
            </w:r>
          </w:p>
          <w:p>
            <w:pPr>
              <w:spacing w:line="380" w:lineRule="exact"/>
              <w:jc w:val="center"/>
              <w:rPr>
                <w:rFonts w:ascii="Times New Roman" w:hAnsi="Times New Roman"/>
                <w:szCs w:val="21"/>
              </w:rPr>
            </w:pPr>
            <w:r>
              <w:rPr>
                <w:rFonts w:ascii="Times New Roman" w:hAnsi="Times New Roman"/>
                <w:szCs w:val="21"/>
              </w:rPr>
              <w:t>来源</w:t>
            </w:r>
          </w:p>
        </w:tc>
        <w:tc>
          <w:tcPr>
            <w:tcW w:w="830" w:type="pct"/>
            <w:shd w:val="clear" w:color="auto" w:fill="A9A3BF"/>
            <w:noWrap w:val="0"/>
            <w:vAlign w:val="center"/>
          </w:tcPr>
          <w:p>
            <w:pPr>
              <w:spacing w:line="380" w:lineRule="exact"/>
              <w:jc w:val="center"/>
              <w:rPr>
                <w:rFonts w:ascii="Times New Roman" w:hAnsi="Times New Roman"/>
                <w:szCs w:val="21"/>
              </w:rPr>
            </w:pPr>
            <w:r>
              <w:rPr>
                <w:rFonts w:ascii="Times New Roman" w:hAnsi="Times New Roman"/>
                <w:szCs w:val="21"/>
              </w:rPr>
              <w:t>废物代码</w:t>
            </w:r>
          </w:p>
        </w:tc>
        <w:tc>
          <w:tcPr>
            <w:tcW w:w="2526" w:type="pct"/>
            <w:shd w:val="clear" w:color="auto" w:fill="A9A3BF"/>
            <w:noWrap w:val="0"/>
            <w:vAlign w:val="center"/>
          </w:tcPr>
          <w:p>
            <w:pPr>
              <w:pStyle w:val="4"/>
              <w:numPr>
                <w:ilvl w:val="0"/>
                <w:numId w:val="0"/>
              </w:numPr>
              <w:spacing w:line="380" w:lineRule="exact"/>
              <w:jc w:val="center"/>
              <w:rPr>
                <w:rFonts w:ascii="Times New Roman" w:hAnsi="Times New Roman"/>
                <w:sz w:val="21"/>
                <w:szCs w:val="21"/>
                <w:lang w:val="en-US"/>
              </w:rPr>
            </w:pPr>
            <w:r>
              <w:rPr>
                <w:rFonts w:ascii="Times New Roman" w:hAnsi="Times New Roman"/>
                <w:sz w:val="21"/>
                <w:szCs w:val="21"/>
                <w:lang w:val="en-US"/>
              </w:rPr>
              <w:t>危险废物</w:t>
            </w:r>
            <w:r>
              <w:rPr>
                <w:rFonts w:hint="eastAsia" w:ascii="Times New Roman" w:hAnsi="Times New Roman"/>
                <w:sz w:val="21"/>
                <w:szCs w:val="21"/>
                <w:lang w:val="en-US"/>
              </w:rPr>
              <w:t>名称</w:t>
            </w:r>
          </w:p>
        </w:tc>
        <w:tc>
          <w:tcPr>
            <w:tcW w:w="370" w:type="pct"/>
            <w:shd w:val="clear" w:color="auto" w:fill="A9A3BF"/>
            <w:noWrap w:val="0"/>
            <w:vAlign w:val="center"/>
          </w:tcPr>
          <w:p>
            <w:pPr>
              <w:spacing w:line="380" w:lineRule="exact"/>
              <w:jc w:val="center"/>
              <w:rPr>
                <w:rFonts w:ascii="Times New Roman" w:hAnsi="Times New Roman"/>
                <w:szCs w:val="21"/>
              </w:rPr>
            </w:pPr>
            <w:r>
              <w:rPr>
                <w:rFonts w:ascii="Times New Roman" w:hAnsi="Times New Roman"/>
                <w:szCs w:val="21"/>
              </w:rPr>
              <w:t>危险特性</w:t>
            </w:r>
          </w:p>
        </w:tc>
        <w:tc>
          <w:tcPr>
            <w:tcW w:w="351" w:type="pct"/>
            <w:shd w:val="clear" w:color="auto" w:fill="A9A3BF"/>
            <w:noWrap w:val="0"/>
            <w:vAlign w:val="center"/>
          </w:tcPr>
          <w:p>
            <w:pPr>
              <w:spacing w:line="380" w:lineRule="exact"/>
              <w:jc w:val="center"/>
              <w:rPr>
                <w:rFonts w:hint="eastAsia" w:ascii="Times New Roman" w:hAnsi="Times New Roman"/>
                <w:szCs w:val="21"/>
                <w:highlight w:val="yellow"/>
              </w:rPr>
            </w:pPr>
            <w:r>
              <w:rPr>
                <w:rFonts w:hint="eastAsia" w:ascii="Times New Roman" w:hAnsi="Times New Roman"/>
                <w:szCs w:val="21"/>
              </w:rPr>
              <w:t>经营规模（t/a）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HW02医药废物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化学药品原料药制造</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271-001-02</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化学合成原料药生产过程中产生的蒸馏及反应残余物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271-002-02</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化学合成原料药生产过程中产生的废母液及反 应基废物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271-004-02</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化学合成原料药生产过程中产生的废吸附剂</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化学药品 制剂制造</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272-001-02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化学药品制剂生产过程中原料药提纯精制、再加工产生的蒸馏及反应残余物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272-003-02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化学药品制剂生产过程中产生的废脱色过滤介质及吸附剂</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272-005-02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化学药品制剂生产过程中产生的废弃产品及原料药</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兽用药品制造</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275-004-02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其他兽药生产过程中产生的蒸馏及反应残余物</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275-008-02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兽药生产过程中产生的废弃产品及原料药</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生物药品 制品制造</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276-002-02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利用生物技术生产生物化学药品、基因工程药  物(不包括利用生物技术合成氨基酸、维生素、 他汀类降脂药物、降糖类药物)过程中产生的  废母液、反应基和培养基废物</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276-005-02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利用生物技术生产生物化学药品、基因工程药 物过程中产生的废弃产品、原料药和中间体</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noWrap w:val="0"/>
            <w:vAlign w:val="center"/>
          </w:tcPr>
          <w:p>
            <w:pPr>
              <w:spacing w:line="380" w:lineRule="exact"/>
              <w:jc w:val="center"/>
              <w:rPr>
                <w:rFonts w:ascii="Times New Roman" w:hAnsi="Times New Roman"/>
                <w:szCs w:val="21"/>
              </w:rPr>
            </w:pPr>
            <w:r>
              <w:rPr>
                <w:rFonts w:ascii="Times New Roman" w:hAnsi="Times New Roman"/>
                <w:szCs w:val="21"/>
              </w:rPr>
              <w:t>HW03</w:t>
            </w:r>
          </w:p>
          <w:p>
            <w:pPr>
              <w:spacing w:line="380" w:lineRule="exact"/>
              <w:jc w:val="center"/>
              <w:rPr>
                <w:rFonts w:ascii="Times New Roman" w:hAnsi="Times New Roman"/>
                <w:szCs w:val="21"/>
              </w:rPr>
            </w:pPr>
            <w:r>
              <w:rPr>
                <w:rFonts w:ascii="Times New Roman" w:hAnsi="Times New Roman"/>
                <w:szCs w:val="21"/>
              </w:rPr>
              <w:t>废药物、药品</w:t>
            </w:r>
          </w:p>
        </w:tc>
        <w:tc>
          <w:tcPr>
            <w:tcW w:w="433" w:type="pc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900-002-03</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销售及使用过程中产生的失效、变质、不合格、淘汰、伪劣的化学药品和生物制品（不包括列入《国家基本药物目录》中的维生素、矿物质类药，调节水、电解质及酸碱平衡药），以及《医疗用毒性药品管理办法》中所列的毒性中药</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noWrap w:val="0"/>
            <w:vAlign w:val="center"/>
          </w:tcPr>
          <w:p>
            <w:pPr>
              <w:spacing w:line="380" w:lineRule="exact"/>
              <w:jc w:val="center"/>
              <w:rPr>
                <w:rFonts w:ascii="Times New Roman" w:hAnsi="Times New Roman"/>
                <w:szCs w:val="21"/>
              </w:rPr>
            </w:pPr>
            <w:r>
              <w:rPr>
                <w:rFonts w:ascii="Times New Roman" w:hAnsi="Times New Roman"/>
                <w:szCs w:val="21"/>
              </w:rPr>
              <w:t>HW04</w:t>
            </w:r>
          </w:p>
          <w:p>
            <w:pPr>
              <w:spacing w:line="380" w:lineRule="exact"/>
              <w:jc w:val="center"/>
              <w:rPr>
                <w:rFonts w:ascii="Times New Roman" w:hAnsi="Times New Roman"/>
                <w:szCs w:val="21"/>
              </w:rPr>
            </w:pPr>
            <w:r>
              <w:rPr>
                <w:rFonts w:ascii="Times New Roman" w:hAnsi="Times New Roman"/>
                <w:szCs w:val="21"/>
              </w:rPr>
              <w:t>农药废物</w:t>
            </w:r>
          </w:p>
        </w:tc>
        <w:tc>
          <w:tcPr>
            <w:tcW w:w="433" w:type="pc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900-003-04</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销售及使用过程中产生的失效、变质、不合格、淘汰、伪劣的农药产品，以及废弃的与农药直接接触或含有农药残余物的包装物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HW06</w:t>
            </w:r>
          </w:p>
          <w:p>
            <w:pPr>
              <w:spacing w:line="380" w:lineRule="exact"/>
              <w:jc w:val="center"/>
              <w:rPr>
                <w:rFonts w:ascii="Times New Roman" w:hAnsi="Times New Roman"/>
                <w:szCs w:val="21"/>
              </w:rPr>
            </w:pPr>
            <w:r>
              <w:rPr>
                <w:rFonts w:ascii="Times New Roman" w:hAnsi="Times New Roman"/>
                <w:szCs w:val="21"/>
              </w:rPr>
              <w:t>废有机溶剂与含有机溶剂废物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900-401-06</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工业生产中作为清洗剂、萃取剂、溶剂或反应介质使用后废弃的四氯化碳、二氯甲烷、1,1-二氯乙烷、1,2-二氯乙烷、1,1,1-三氯乙烷、1,1,2-三氯乙烷、三氯乙烯、四氯乙烯，以及在使用前混合的含有一种或多种上述卤化溶剂的混合/调和溶剂</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900-402-06</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T,I,R</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900-404-06</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工业生产中作为清洗剂、萃取剂、溶剂或反应介质使用后废弃的其他列入《危险化学品目录》的有机溶剂，以及在使用前混合的含有一种或多种上述溶剂的混合/调和溶剂</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T,I,R</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900-405-06</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900-401-06、900-402-06、900-404-06中所列废有机溶剂再生处理过程中产生的废活性炭及其他过滤吸附介质</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T,I,R</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900-407-06</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900-401-06、900-402-06、900-404-06中所列废有机溶剂分馏再生过程中产生的高沸物和釜底残渣</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T,I,R</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900-409-06</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900-401-06、900-402-06、900-404-06中所列废有机溶剂再生处理过程中产生的废水处理浮渣 和污泥(不包括废水生化处理污泥)</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HW08</w:t>
            </w:r>
          </w:p>
          <w:p>
            <w:pPr>
              <w:spacing w:line="380" w:lineRule="exact"/>
              <w:jc w:val="center"/>
              <w:rPr>
                <w:rFonts w:ascii="Times New Roman" w:hAnsi="Times New Roman"/>
                <w:szCs w:val="21"/>
              </w:rPr>
            </w:pPr>
            <w:r>
              <w:rPr>
                <w:rFonts w:ascii="Times New Roman" w:hAnsi="Times New Roman"/>
                <w:szCs w:val="21"/>
              </w:rPr>
              <w:t>废矿物油与含矿物油废物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900-199-08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内燃机、汽车、轮船等集中拆解过程产生的废矿物油及油泥</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900-200-08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珩磨、研磨、打磨过程产生的废矿物油及油泥</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900-201-08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清洗金属零部件过程中产生的废弃煤油、柴油、汽油及其他由石油和煤炼制生产的溶剂油</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900-204-08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使用轧制油、冷却剂及酸进行金属轧制产生的废矿物油</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900-209-08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金属、塑料的定型和物理机械表面处理过程中产生的废石蜡和润滑油</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900-210-08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含油废水处理中隔油、气浮、沉淀等处理过程中产生的浮油、浮渣和污泥（不包括废水生化处理污泥）</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900-213-08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废矿物油再生净化过程中产生的沉淀残渣、过滤残渣、废过滤吸附介质</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900-214-08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车辆、轮船及其它机械维修过程中产生的废发动机油、制动器油、自动变速器油、齿轮油等废润滑油</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900-215-08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废矿物油裂解再生过程中产生的裂解残渣</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900-217-08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使用工业齿轮油进行机械设备润滑过程中产生的废润滑油</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900-218-08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液压设备维护、更换和拆解过程中产生的废液压油</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900-219-08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冷冻压缩设备维护、更换和拆解过程中产生的废冷冻机油</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900-220-08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变压器维护、更换和拆解过程中产生的废变压器油</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900-221-08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废燃料油及燃料油储存过程中产生的油泥</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900-249-08</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其他生产、销售、使用过程中产生的废矿物油及沾染矿物油的废弃包装物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HW09油/水、烃水混合物 或乳化液</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900-005-09</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水压机维护、更换和拆解过程中产生的油/水、烃/水混合物或乳化液</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900-006-09</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使用切削油或切削液进行机械加工过程中产生的油/水、烃/水混合物或乳化液</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900-007-09</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其他工艺过程中产生的油/水、烃/水混合物或乳 化液</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noWrap w:val="0"/>
            <w:vAlign w:val="center"/>
          </w:tcPr>
          <w:p>
            <w:pPr>
              <w:spacing w:line="380" w:lineRule="exact"/>
              <w:jc w:val="center"/>
              <w:rPr>
                <w:rFonts w:ascii="Times New Roman" w:hAnsi="Times New Roman"/>
                <w:szCs w:val="21"/>
              </w:rPr>
            </w:pPr>
            <w:r>
              <w:rPr>
                <w:rFonts w:ascii="Times New Roman" w:hAnsi="Times New Roman"/>
                <w:szCs w:val="21"/>
              </w:rPr>
              <w:t>HW11精(蒸馏）残渣</w:t>
            </w:r>
          </w:p>
        </w:tc>
        <w:tc>
          <w:tcPr>
            <w:tcW w:w="433"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900-013-11</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其他化工生产过程(不包括以生物质为主要原料的加工过程)中精馏、蒸馏和热解工艺产生的高沸点釜底残余物</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HW12</w:t>
            </w:r>
          </w:p>
          <w:p>
            <w:pPr>
              <w:spacing w:line="380" w:lineRule="exact"/>
              <w:jc w:val="center"/>
              <w:rPr>
                <w:rFonts w:ascii="Times New Roman" w:hAnsi="Times New Roman"/>
                <w:szCs w:val="21"/>
              </w:rPr>
            </w:pPr>
            <w:r>
              <w:rPr>
                <w:rFonts w:ascii="Times New Roman" w:hAnsi="Times New Roman"/>
                <w:szCs w:val="21"/>
              </w:rPr>
              <w:t>染料、涂料废物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涂料、油墨、颜料及类似产品制造</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264-009-12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使用含铬、铅的稳定剂配制油墨过程中，设备清洗产生的洗涤废液和废水处理污泥</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264-011-12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染料、颜料生产过程中产生的废母液、残渣，废吸附剂和中间体废物</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264-012-12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其他油墨、染料、颜料、油漆(不包括水性漆生产过程中产生的废水处理污泥</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264-013-12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油漆、油墨生产、配制和使用过程中产生的含颜料、油墨的废有机溶剂</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900-250-12</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使用有机溶剂、光漆进行光漆涂布、喷漆工艺过程中产生的废物</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900-251-12</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使用油漆（不包括水性漆）、有机溶剂进行阻挡层涂敷过程中产生的废物</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900-252-12</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使用油漆（不包括水性漆）、有机溶剂进行喷漆、上漆过程中产生的废物</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900-253-12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使用油墨和有机溶剂进行丝网印刷过程中产生的废物</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T,I</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900-255-12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使用各种颜料进行着色过程中产生的废颜料</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900-256-12</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使用酸、碱或有机溶剂清洗容器设备过程中剥离下的废油漆、废染料、废涂料</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T,I,C</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900-299-12</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生产、销售及使用过程中产生的失效、变质、不合格、淘汰、伪劣的油墨、染料、颜料、油漆（不包括水性漆）</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HW13有机树脂 类废物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合成材料制造</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265-101-13</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树脂、合成乳胶、增塑剂、胶水/胶合剂合成过程产生的不合格产品(不包括热塑型树脂生产 过程中聚合产物经脱除单体、低聚物、溶剂及 其他助剂后产生的废料，以及热固型树脂固化 后的固化体)</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265-102-13</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树脂、合成乳胶、增塑剂、胶水/胶合剂生产过程中合成、酯化、缩合等工序产生的废母液</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265-103-13</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树脂(不包括水性聚氨酯乳液、水性丙烯酸乳液、水性聚氨酯丙烯酸复合乳液)、合成乳胶 增塑剂、胶水/胶合剂生产过程中精馏、分离  精制等工序产生的釜底残液、废过滤介质和残渣</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265-104-13</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树脂(不包括水性聚氨酯乳液、水性丙烯酸乳液、水性聚氨酯丙烯酸复合乳液)、合成乳胶、 增塑剂、胶水/胶合剂合成过程中产生的废水处理污泥(不包括废水生化处理污泥)</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900-014-13</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废弃的粘合剂和密封剂(不包括水基型和热熔型粘合剂和密封剂)</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900-015-13</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湿法冶金、表面处理和制药行业重金属、抗生素提取、分离过程产生的废弃离子交换树脂，以及工业废水处理过程产生的废弃离子交换树脂</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HW16</w:t>
            </w:r>
          </w:p>
          <w:p>
            <w:pPr>
              <w:spacing w:line="380" w:lineRule="exact"/>
              <w:jc w:val="center"/>
              <w:rPr>
                <w:rFonts w:ascii="Times New Roman" w:hAnsi="Times New Roman"/>
                <w:szCs w:val="21"/>
              </w:rPr>
            </w:pPr>
            <w:r>
              <w:rPr>
                <w:rFonts w:ascii="Times New Roman" w:hAnsi="Times New Roman"/>
                <w:szCs w:val="21"/>
              </w:rPr>
              <w:t>感光材料废物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印刷</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231-001-16</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使用显影剂进行胶卷显影，使用定影剂进行胶卷定影，以及使用铁氰化钾、硫代硫酸盐进行影像减薄（漂白）产生的废显（定）影剂、胶片和废</w:t>
            </w:r>
            <w:r>
              <w:rPr>
                <w:rFonts w:hint="eastAsia" w:ascii="Times New Roman" w:hAnsi="Times New Roman"/>
                <w:szCs w:val="21"/>
                <w:lang w:eastAsia="zh-CN"/>
              </w:rPr>
              <w:t>相</w:t>
            </w:r>
            <w:r>
              <w:rPr>
                <w:rFonts w:ascii="Times New Roman" w:hAnsi="Times New Roman"/>
                <w:szCs w:val="21"/>
              </w:rPr>
              <w:t>纸</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231-002-16</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使用显影剂进行印刷显影、抗蚀图形显影，以及凸版印刷产生的废显（定）影剂、胶片和废</w:t>
            </w:r>
            <w:r>
              <w:rPr>
                <w:rFonts w:hint="eastAsia" w:ascii="Times New Roman" w:hAnsi="Times New Roman"/>
                <w:szCs w:val="21"/>
                <w:lang w:eastAsia="zh-CN"/>
              </w:rPr>
              <w:t>相</w:t>
            </w:r>
            <w:r>
              <w:rPr>
                <w:rFonts w:ascii="Times New Roman" w:hAnsi="Times New Roman"/>
                <w:szCs w:val="21"/>
              </w:rPr>
              <w:t>纸</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900-019-16</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其他行业产生的废显（定）影剂、胶片和废</w:t>
            </w:r>
            <w:r>
              <w:rPr>
                <w:rFonts w:hint="eastAsia" w:ascii="Times New Roman" w:hAnsi="Times New Roman"/>
                <w:szCs w:val="21"/>
                <w:lang w:eastAsia="zh-CN"/>
              </w:rPr>
              <w:t>相</w:t>
            </w:r>
            <w:r>
              <w:rPr>
                <w:rFonts w:ascii="Times New Roman" w:hAnsi="Times New Roman"/>
                <w:szCs w:val="21"/>
              </w:rPr>
              <w:t>纸</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HW17表面处理废物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金属表面处理及热处理加工</w:t>
            </w: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336-063-17</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其他电镀工艺产生的废槽液、槽渣和废水处理污泥</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szCs w:val="21"/>
              </w:rPr>
            </w:pPr>
            <w:r>
              <w:rPr>
                <w:rFonts w:ascii="Times New Roman" w:hAnsi="Times New Roman"/>
                <w:szCs w:val="21"/>
              </w:rPr>
              <w:t>336-064-17</w:t>
            </w:r>
          </w:p>
        </w:tc>
        <w:tc>
          <w:tcPr>
            <w:tcW w:w="2526" w:type="pct"/>
            <w:noWrap w:val="0"/>
            <w:vAlign w:val="center"/>
          </w:tcPr>
          <w:p>
            <w:pPr>
              <w:spacing w:line="380" w:lineRule="exact"/>
              <w:jc w:val="center"/>
              <w:rPr>
                <w:rFonts w:ascii="Times New Roman" w:hAnsi="Times New Roman"/>
                <w:szCs w:val="21"/>
              </w:rPr>
            </w:pPr>
            <w:r>
              <w:rPr>
                <w:rFonts w:ascii="Times New Roman" w:hAnsi="Times New Roman"/>
                <w:szCs w:val="21"/>
              </w:rPr>
              <w:t>金属或塑料表面酸(碱)洗、除油、除锈、洗涤、磷化、出光、化抛工艺产生的废腐蚀液、废洗涤液、废槽液、槽渣和废水处理污泥(不包括：铝、镁材(板)表面酸(碱)洗、粗化、硫酸阳极处理、磷酸化学抛光废水处理污泥，铝电解电容器用铝电极箔化学腐蚀、非硼酸系化成液化成废水处理污泥，铝材挤压加工模具碱洗(煲模)废水处理污泥，碳钢酸洗除锈废水处理污泥)</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T/C</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noWrap w:val="0"/>
            <w:vAlign w:val="center"/>
          </w:tcPr>
          <w:p>
            <w:pPr>
              <w:spacing w:line="380" w:lineRule="exact"/>
              <w:jc w:val="center"/>
              <w:rPr>
                <w:rFonts w:ascii="Times New Roman" w:hAnsi="Times New Roman"/>
                <w:szCs w:val="21"/>
              </w:rPr>
            </w:pPr>
            <w:r>
              <w:rPr>
                <w:rFonts w:ascii="Times New Roman" w:hAnsi="Times New Roman"/>
                <w:szCs w:val="21"/>
              </w:rPr>
              <w:t>HW23含锌废物</w:t>
            </w:r>
          </w:p>
        </w:tc>
        <w:tc>
          <w:tcPr>
            <w:tcW w:w="433" w:type="pc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900-021-23</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使用氢氧化钠、锌粉进行贵金属沉淀过程中产生的废液和废水处理污泥</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HW29</w:t>
            </w:r>
          </w:p>
          <w:p>
            <w:pPr>
              <w:spacing w:line="380" w:lineRule="exact"/>
              <w:jc w:val="center"/>
              <w:rPr>
                <w:rFonts w:ascii="Times New Roman" w:hAnsi="Times New Roman"/>
                <w:szCs w:val="21"/>
              </w:rPr>
            </w:pPr>
            <w:r>
              <w:rPr>
                <w:rFonts w:ascii="Times New Roman" w:hAnsi="Times New Roman"/>
                <w:szCs w:val="21"/>
              </w:rPr>
              <w:t>含汞废物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900-022-29</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废弃的含汞催化剂</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900-023-29</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生产、销售及使用过程中产生的废含汞荧光灯管及其他废含汞电光源，及废弃含汞电光源处理处置过程中产生的废荧光粉、废活性炭和废</w:t>
            </w:r>
            <w:r>
              <w:rPr>
                <w:rFonts w:hint="default" w:ascii="Times New Roman" w:hAnsi="Times New Roman" w:eastAsia="宋体" w:cs="Times New Roman"/>
                <w:b w:val="0"/>
                <w:bCs w:val="0"/>
                <w:color w:val="auto"/>
                <w:szCs w:val="21"/>
                <w:lang w:val="en-US" w:eastAsia="zh-CN"/>
              </w:rPr>
              <w:t xml:space="preserve"> </w:t>
            </w:r>
            <w:r>
              <w:rPr>
                <w:rFonts w:hint="eastAsia" w:ascii="Times New Roman" w:hAnsi="Times New Roman" w:eastAsia="宋体" w:cs="Times New Roman"/>
                <w:b w:val="0"/>
                <w:bCs w:val="0"/>
                <w:color w:val="auto"/>
                <w:szCs w:val="21"/>
                <w:lang w:val="en-US" w:eastAsia="zh-CN"/>
              </w:rPr>
              <w:t>水处理污泥</w:t>
            </w:r>
          </w:p>
        </w:tc>
        <w:tc>
          <w:tcPr>
            <w:tcW w:w="370" w:type="pct"/>
            <w:noWrap w:val="0"/>
            <w:vAlign w:val="center"/>
          </w:tcPr>
          <w:p>
            <w:pPr>
              <w:keepNext w:val="0"/>
              <w:keepLines w:val="0"/>
              <w:widowControl w:val="0"/>
              <w:suppressLineNumbers w:val="0"/>
              <w:kinsoku w:val="0"/>
              <w:autoSpaceDE w:val="0"/>
              <w:autoSpaceDN w:val="0"/>
              <w:adjustRightInd w:val="0"/>
              <w:snapToGrid w:val="0"/>
              <w:spacing w:before="100" w:beforeAutospacing="1" w:after="100" w:afterAutospacing="1"/>
              <w:ind w:left="0" w:leftChars="0" w:right="0" w:rightChars="0"/>
              <w:jc w:val="center"/>
              <w:rPr>
                <w:rFonts w:ascii="Calibri" w:hAnsi="Calibri"/>
                <w:b w:val="0"/>
                <w:bCs w:val="0"/>
                <w:color w:val="0000FF"/>
                <w:kern w:val="2"/>
                <w:sz w:val="21"/>
                <w:szCs w:val="21"/>
                <w:lang w:val="en-US" w:eastAsia="zh-CN" w:bidi="ar-SA"/>
              </w:rPr>
            </w:pPr>
            <w:r>
              <w:rPr>
                <w:rFonts w:hint="default" w:ascii="Times New Roman" w:hAnsi="Times New Roman" w:eastAsia="宋体" w:cs="Times New Roman"/>
                <w:b w:val="0"/>
                <w:bCs w:val="0"/>
                <w:color w:val="0000FF"/>
                <w:kern w:val="2"/>
                <w:sz w:val="21"/>
                <w:szCs w:val="21"/>
                <w:lang w:val="en-US" w:eastAsia="zh-CN" w:bidi="ar"/>
              </w:rPr>
              <w:t>T</w:t>
            </w:r>
          </w:p>
        </w:tc>
        <w:tc>
          <w:tcPr>
            <w:tcW w:w="351" w:type="pct"/>
            <w:vMerge w:val="continue"/>
            <w:noWrap w:val="0"/>
            <w:vAlign w:val="center"/>
          </w:tcPr>
          <w:p>
            <w:pPr>
              <w:spacing w:line="380" w:lineRule="exact"/>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900-024-29</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生产、销售及使用过程中产生的废含汞温度计、废含汞血压计、废含汞真空表、废含汞压力计、 废氧化汞电池和废汞开关</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900-452-29</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含汞废水处理过程中产生的废树脂、废活性炭和污泥</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noWrap w:val="0"/>
            <w:vAlign w:val="center"/>
          </w:tcPr>
          <w:p>
            <w:pPr>
              <w:spacing w:line="380" w:lineRule="exact"/>
              <w:jc w:val="center"/>
              <w:rPr>
                <w:rFonts w:ascii="Times New Roman" w:hAnsi="Times New Roman"/>
                <w:szCs w:val="21"/>
              </w:rPr>
            </w:pPr>
            <w:r>
              <w:rPr>
                <w:rFonts w:ascii="Times New Roman" w:hAnsi="Times New Roman"/>
                <w:szCs w:val="21"/>
              </w:rPr>
              <w:t>HW31含铅废物</w:t>
            </w:r>
          </w:p>
        </w:tc>
        <w:tc>
          <w:tcPr>
            <w:tcW w:w="433" w:type="pc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900-025-31</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使用硬脂酸铅进行抗黏涂层过程中产生的废物</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noWrap w:val="0"/>
            <w:vAlign w:val="center"/>
          </w:tcPr>
          <w:p>
            <w:pPr>
              <w:spacing w:line="380" w:lineRule="exact"/>
              <w:jc w:val="center"/>
              <w:rPr>
                <w:rFonts w:ascii="Times New Roman" w:hAnsi="Times New Roman"/>
                <w:szCs w:val="21"/>
              </w:rPr>
            </w:pPr>
            <w:r>
              <w:rPr>
                <w:rFonts w:ascii="Times New Roman" w:hAnsi="Times New Roman"/>
                <w:szCs w:val="21"/>
              </w:rPr>
              <w:t>HW32无机氟化物废物</w:t>
            </w:r>
          </w:p>
        </w:tc>
        <w:tc>
          <w:tcPr>
            <w:tcW w:w="433"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900-026-32</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使用氢氟酸进行蚀刻产生的废蚀刻液</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T,C</w:t>
            </w:r>
          </w:p>
        </w:tc>
        <w:tc>
          <w:tcPr>
            <w:tcW w:w="351" w:type="pc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noWrap w:val="0"/>
            <w:vAlign w:val="center"/>
          </w:tcPr>
          <w:p>
            <w:pPr>
              <w:spacing w:line="380" w:lineRule="exact"/>
              <w:jc w:val="center"/>
              <w:rPr>
                <w:rFonts w:ascii="Times New Roman" w:hAnsi="Times New Roman"/>
                <w:szCs w:val="21"/>
              </w:rPr>
            </w:pPr>
            <w:r>
              <w:rPr>
                <w:rFonts w:ascii="Times New Roman" w:hAnsi="Times New Roman"/>
                <w:szCs w:val="21"/>
              </w:rPr>
              <w:t>HW34废酸</w:t>
            </w:r>
          </w:p>
        </w:tc>
        <w:tc>
          <w:tcPr>
            <w:tcW w:w="433" w:type="pc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900-349-34</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生产、销售及使用过程中产生的失效、变质、不合格、淘汰、伪劣的强酸性擦洗粉、清洁剂、污迹去除剂以及其他强酸性废酸液和酸渣</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C,T</w:t>
            </w:r>
          </w:p>
        </w:tc>
        <w:tc>
          <w:tcPr>
            <w:tcW w:w="351" w:type="pc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HW35废碱</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900-352-35</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使用碱进行清洗产生的废碱液</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C,T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900-354-35</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使用碱进行电镀阻挡层或抗蚀层的脱除产生的废碱液</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C,T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900-399-35</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生产、销售及使用过程中产生的失效、变质、不合格、淘汰、伪劣的强碱性擦洗粉、清洁剂、污迹去除剂以及其他强碱性废碱液、固态碱和碱渣</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C,T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HW36石棉废物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900-030-36</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其他生产过程中产生的石棉废物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900-031-36</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含有石棉的废绝缘材料、建筑废物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900-032-36</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含有隔膜、热绝缘体等石棉材料的设施保养拆换及车辆制动器衬片的更换产生的石棉废物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noWrap w:val="0"/>
            <w:vAlign w:val="center"/>
          </w:tcPr>
          <w:p>
            <w:pPr>
              <w:spacing w:line="380" w:lineRule="exact"/>
              <w:jc w:val="center"/>
              <w:rPr>
                <w:rFonts w:ascii="Times New Roman" w:hAnsi="Times New Roman"/>
                <w:szCs w:val="21"/>
              </w:rPr>
            </w:pPr>
            <w:r>
              <w:rPr>
                <w:rFonts w:ascii="Times New Roman" w:hAnsi="Times New Roman"/>
                <w:szCs w:val="21"/>
              </w:rPr>
              <w:t>HW46含镍废物</w:t>
            </w:r>
          </w:p>
        </w:tc>
        <w:tc>
          <w:tcPr>
            <w:tcW w:w="433"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非特定行 业</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900-037-46</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废弃的镍催化剂</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T,I</w:t>
            </w:r>
          </w:p>
        </w:tc>
        <w:tc>
          <w:tcPr>
            <w:tcW w:w="351" w:type="pc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HW49其他废物</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900-039-49</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烟气、VOCs治理过程（不包括餐饮行业油烟治理过程）产生的废活性炭，化学原料和化学制品脱色（不包括有机合成食品添加剂脱色）、除杂、净化过程产生的废活性炭（不包括900-405-06、772-005-18、261-053-29、265-002-29、384-003-29、387-001-29类废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spacing w:line="380" w:lineRule="exact"/>
              <w:jc w:val="center"/>
              <w:rPr>
                <w:rFonts w:ascii="Times New Roman" w:hAnsi="Times New Roman"/>
                <w:szCs w:val="21"/>
                <w:highlight w:val="yellow"/>
              </w:rPr>
            </w:pPr>
            <w:r>
              <w:rPr>
                <w:rFonts w:hint="eastAsia" w:ascii="Times New Roman" w:hAnsi="Times New Roman"/>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900-041-49</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含有或沾染毒性、感染性危险废物的废弃包装物、容器、过滤吸附介质</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T/In</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900-042-49</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环境事件及其处理过程中产生的沾染危险化学品、危险废物的废物</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T/C/I/R/In</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900-044-49</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废弃的镉镍电池、荧光粉和阴极射线管</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900-045-49</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废电路板(包括已拆除或未拆除元器件的废弃  电路板),及废电路板拆解过程产生的废弃CPU、显卡、声卡、内存、含电解液的电容器、 含金等贵金属的连接件</w:t>
            </w:r>
          </w:p>
        </w:tc>
        <w:tc>
          <w:tcPr>
            <w:tcW w:w="370" w:type="pct"/>
            <w:noWrap w:val="0"/>
            <w:vAlign w:val="center"/>
          </w:tcPr>
          <w:p>
            <w:pPr>
              <w:spacing w:line="380" w:lineRule="exact"/>
              <w:jc w:val="center"/>
              <w:rPr>
                <w:rFonts w:ascii="Times New Roman" w:hAnsi="Times New Roman"/>
                <w:color w:val="0000FF"/>
                <w:szCs w:val="21"/>
              </w:rPr>
            </w:pPr>
            <w:r>
              <w:rPr>
                <w:rFonts w:ascii="Times New Roman" w:hAnsi="Times New Roman"/>
                <w:color w:val="0000FF"/>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900-046-49</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离子交换装置(不包括饮用水、工业纯水和锅炉软化水制备装置)再生过程中产生的废水处 理污泥</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900-047-49</w:t>
            </w:r>
          </w:p>
        </w:tc>
        <w:tc>
          <w:tcPr>
            <w:tcW w:w="2526" w:type="pct"/>
            <w:noWrap w:val="0"/>
            <w:vAlign w:val="center"/>
          </w:tcPr>
          <w:p>
            <w:pPr>
              <w:spacing w:line="380" w:lineRule="exact"/>
              <w:jc w:val="center"/>
              <w:rPr>
                <w:rFonts w:ascii="Times New Roman" w:hAnsi="Times New Roman"/>
                <w:color w:val="auto"/>
                <w:szCs w:val="21"/>
              </w:rPr>
            </w:pPr>
            <w:r>
              <w:rPr>
                <w:rFonts w:ascii="Times New Roman" w:hAnsi="Times New Roman"/>
                <w:color w:val="auto"/>
                <w:szCs w:val="21"/>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370" w:type="pct"/>
            <w:noWrap w:val="0"/>
            <w:vAlign w:val="center"/>
          </w:tcPr>
          <w:p>
            <w:pPr>
              <w:spacing w:line="380" w:lineRule="exact"/>
              <w:jc w:val="center"/>
              <w:rPr>
                <w:rFonts w:ascii="Times New Roman" w:hAnsi="Times New Roman"/>
                <w:szCs w:val="21"/>
              </w:rPr>
            </w:pPr>
            <w:r>
              <w:rPr>
                <w:rFonts w:ascii="Times New Roman" w:hAnsi="Times New Roman"/>
                <w:szCs w:val="21"/>
              </w:rPr>
              <w:t>T/C/I/R</w:t>
            </w:r>
          </w:p>
        </w:tc>
        <w:tc>
          <w:tcPr>
            <w:tcW w:w="351" w:type="pct"/>
            <w:vMerge w:val="continue"/>
            <w:noWrap w:val="0"/>
            <w:vAlign w:val="center"/>
          </w:tcPr>
          <w:p>
            <w:pPr>
              <w:spacing w:line="380" w:lineRule="exact"/>
              <w:jc w:val="center"/>
              <w:rPr>
                <w:rFonts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HW50废催化剂</w:t>
            </w:r>
          </w:p>
        </w:tc>
        <w:tc>
          <w:tcPr>
            <w:tcW w:w="433" w:type="pct"/>
            <w:vMerge w:val="restart"/>
            <w:noWrap w:val="0"/>
            <w:vAlign w:val="center"/>
          </w:tcPr>
          <w:p>
            <w:pPr>
              <w:spacing w:line="380" w:lineRule="exact"/>
              <w:jc w:val="center"/>
              <w:rPr>
                <w:rFonts w:ascii="Times New Roman" w:hAnsi="Times New Roman"/>
                <w:szCs w:val="21"/>
              </w:rPr>
            </w:pPr>
            <w:r>
              <w:rPr>
                <w:rFonts w:ascii="Times New Roman" w:hAnsi="Times New Roman"/>
                <w:szCs w:val="21"/>
              </w:rPr>
              <w:t>非特定行业</w:t>
            </w: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900-048-50</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废液体催化剂</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restart"/>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r>
              <w:rPr>
                <w:rFonts w:hint="eastAsia"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6" w:type="pct"/>
            <w:vMerge w:val="continue"/>
            <w:noWrap w:val="0"/>
            <w:vAlign w:val="center"/>
          </w:tcPr>
          <w:p>
            <w:pPr>
              <w:spacing w:line="380" w:lineRule="exact"/>
              <w:jc w:val="center"/>
              <w:rPr>
                <w:rFonts w:ascii="Times New Roman" w:hAnsi="Times New Roman"/>
                <w:szCs w:val="21"/>
              </w:rPr>
            </w:pPr>
          </w:p>
        </w:tc>
        <w:tc>
          <w:tcPr>
            <w:tcW w:w="433" w:type="pct"/>
            <w:vMerge w:val="continue"/>
            <w:noWrap w:val="0"/>
            <w:vAlign w:val="center"/>
          </w:tcPr>
          <w:p>
            <w:pPr>
              <w:spacing w:line="380" w:lineRule="exact"/>
              <w:jc w:val="center"/>
              <w:rPr>
                <w:rFonts w:ascii="Times New Roman" w:hAnsi="Times New Roman"/>
                <w:szCs w:val="21"/>
              </w:rPr>
            </w:pPr>
          </w:p>
        </w:tc>
        <w:tc>
          <w:tcPr>
            <w:tcW w:w="830"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900-049-50</w:t>
            </w:r>
          </w:p>
        </w:tc>
        <w:tc>
          <w:tcPr>
            <w:tcW w:w="2526" w:type="pct"/>
            <w:noWrap w:val="0"/>
            <w:vAlign w:val="center"/>
          </w:tcPr>
          <w:p>
            <w:pPr>
              <w:kinsoku w:val="0"/>
              <w:autoSpaceDE w:val="0"/>
              <w:autoSpaceDN w:val="0"/>
              <w:adjustRightInd w:val="0"/>
              <w:snapToGrid w:val="0"/>
              <w:spacing w:line="380" w:lineRule="exact"/>
              <w:jc w:val="center"/>
              <w:rPr>
                <w:rFonts w:ascii="Times New Roman" w:hAnsi="Times New Roman"/>
                <w:color w:val="auto"/>
                <w:szCs w:val="21"/>
              </w:rPr>
            </w:pPr>
            <w:r>
              <w:rPr>
                <w:rFonts w:ascii="Times New Roman" w:hAnsi="Times New Roman"/>
                <w:color w:val="auto"/>
                <w:szCs w:val="21"/>
              </w:rPr>
              <w:t>机动车和非道路移动机械尾气净化废催化剂</w:t>
            </w:r>
          </w:p>
        </w:tc>
        <w:tc>
          <w:tcPr>
            <w:tcW w:w="370" w:type="pct"/>
            <w:noWrap w:val="0"/>
            <w:vAlign w:val="center"/>
          </w:tcPr>
          <w:p>
            <w:pPr>
              <w:kinsoku w:val="0"/>
              <w:autoSpaceDE w:val="0"/>
              <w:autoSpaceDN w:val="0"/>
              <w:adjustRightInd w:val="0"/>
              <w:snapToGrid w:val="0"/>
              <w:spacing w:line="380" w:lineRule="exact"/>
              <w:jc w:val="center"/>
              <w:rPr>
                <w:rFonts w:ascii="Times New Roman" w:hAnsi="Times New Roman"/>
                <w:szCs w:val="21"/>
              </w:rPr>
            </w:pPr>
            <w:r>
              <w:rPr>
                <w:rFonts w:ascii="Times New Roman" w:hAnsi="Times New Roman"/>
                <w:szCs w:val="21"/>
              </w:rPr>
              <w:t>T</w:t>
            </w:r>
          </w:p>
        </w:tc>
        <w:tc>
          <w:tcPr>
            <w:tcW w:w="351" w:type="pct"/>
            <w:vMerge w:val="continue"/>
            <w:noWrap w:val="0"/>
            <w:vAlign w:val="center"/>
          </w:tcPr>
          <w:p>
            <w:pPr>
              <w:kinsoku w:val="0"/>
              <w:autoSpaceDE w:val="0"/>
              <w:autoSpaceDN w:val="0"/>
              <w:adjustRightInd w:val="0"/>
              <w:snapToGrid w:val="0"/>
              <w:spacing w:line="380" w:lineRule="exact"/>
              <w:jc w:val="center"/>
              <w:rPr>
                <w:rFonts w:ascii="Times New Roman" w:hAnsi="Times New Roman"/>
                <w:szCs w:val="21"/>
                <w:highlight w:val="yellow"/>
              </w:rPr>
            </w:pPr>
          </w:p>
        </w:tc>
      </w:tr>
    </w:tbl>
    <w:p>
      <w:pPr>
        <w:pStyle w:val="4"/>
        <w:jc w:val="center"/>
        <w:rPr>
          <w:rFonts w:hint="eastAsia" w:hAnsi="宋体" w:eastAsia="方正仿宋_GBK" w:cs="方正仿宋_GBK"/>
          <w:kern w:val="0"/>
          <w:sz w:val="32"/>
          <w:szCs w:val="32"/>
          <w:lang w:val="en-US" w:eastAsia="zh-CN"/>
        </w:rPr>
      </w:pPr>
    </w:p>
    <w:sectPr>
      <w:footerReference r:id="rId3" w:type="default"/>
      <w:pgSz w:w="16838" w:h="11906" w:orient="landscape"/>
      <w:pgMar w:top="1440" w:right="1080" w:bottom="1440" w:left="1080" w:header="851" w:footer="992" w:gutter="0"/>
      <w:pgNumType w:fmt="decimal"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swiss"/>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516076"/>
                            <w:docPartObj>
                              <w:docPartGallery w:val="autotext"/>
                            </w:docPartObj>
                          </w:sdtPr>
                          <w:sdtEndPr>
                            <w:rPr>
                              <w:rFonts w:hint="eastAsia" w:asciiTheme="majorEastAsia" w:hAnsiTheme="majorEastAsia" w:eastAsiaTheme="majorEastAsia" w:cstheme="majorEastAsia"/>
                              <w:sz w:val="28"/>
                              <w:szCs w:val="28"/>
                            </w:rPr>
                          </w:sdtEndPr>
                          <w:sdtContent>
                            <w:p>
                              <w:pPr>
                                <w:pStyle w:val="5"/>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zh-CN"/>
                                </w:rPr>
                                <w:fldChar w:fldCharType="end"/>
                              </w:r>
                              <w:r>
                                <w:rPr>
                                  <w:rFonts w:hint="eastAsia" w:asciiTheme="majorEastAsia" w:hAnsiTheme="majorEastAsia" w:eastAsiaTheme="majorEastAsia" w:cstheme="majorEastAsia"/>
                                  <w:sz w:val="28"/>
                                  <w:szCs w:val="28"/>
                                  <w:lang w:val="zh-CN"/>
                                </w:rPr>
                                <w:t>－</w:t>
                              </w:r>
                            </w:p>
                          </w:sdtContent>
                        </w:sdt>
                        <w:p>
                          <w:pPr>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29516076"/>
                      <w:docPartObj>
                        <w:docPartGallery w:val="autotext"/>
                      </w:docPartObj>
                    </w:sdtPr>
                    <w:sdtEndPr>
                      <w:rPr>
                        <w:rFonts w:hint="eastAsia" w:asciiTheme="majorEastAsia" w:hAnsiTheme="majorEastAsia" w:eastAsiaTheme="majorEastAsia" w:cstheme="majorEastAsia"/>
                        <w:sz w:val="28"/>
                        <w:szCs w:val="28"/>
                      </w:rPr>
                    </w:sdtEndPr>
                    <w:sdtContent>
                      <w:p>
                        <w:pPr>
                          <w:pStyle w:val="5"/>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lang w:val="zh-CN"/>
                          </w:rPr>
                          <w:fldChar w:fldCharType="end"/>
                        </w:r>
                        <w:r>
                          <w:rPr>
                            <w:rFonts w:hint="eastAsia" w:asciiTheme="majorEastAsia" w:hAnsiTheme="majorEastAsia" w:eastAsiaTheme="majorEastAsia" w:cstheme="majorEastAsia"/>
                            <w:sz w:val="28"/>
                            <w:szCs w:val="28"/>
                            <w:lang w:val="zh-CN"/>
                          </w:rPr>
                          <w:t>－</w:t>
                        </w:r>
                      </w:p>
                    </w:sdtContent>
                  </w:sdt>
                  <w:p>
                    <w:pPr>
                      <w:rPr>
                        <w:rFonts w:hint="eastAsia" w:asciiTheme="majorEastAsia" w:hAnsiTheme="majorEastAsia" w:eastAsiaTheme="majorEastAsia" w:cstheme="majorEastAsia"/>
                        <w:sz w:val="28"/>
                        <w:szCs w:val="28"/>
                      </w:rPr>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DQzZWMwNDZlZmU4MWQ2MjAyNzQzMzM1Y2YwMzMifQ=="/>
  </w:docVars>
  <w:rsids>
    <w:rsidRoot w:val="00856472"/>
    <w:rsid w:val="000D7AAA"/>
    <w:rsid w:val="00335D07"/>
    <w:rsid w:val="00367A37"/>
    <w:rsid w:val="00396C74"/>
    <w:rsid w:val="00473D05"/>
    <w:rsid w:val="00590521"/>
    <w:rsid w:val="006F6A83"/>
    <w:rsid w:val="00856472"/>
    <w:rsid w:val="00B06A03"/>
    <w:rsid w:val="00B56682"/>
    <w:rsid w:val="00CA5186"/>
    <w:rsid w:val="00CA7BF2"/>
    <w:rsid w:val="00DF6BCB"/>
    <w:rsid w:val="00F4439B"/>
    <w:rsid w:val="01072A13"/>
    <w:rsid w:val="017B459B"/>
    <w:rsid w:val="01C50959"/>
    <w:rsid w:val="0479316F"/>
    <w:rsid w:val="06282988"/>
    <w:rsid w:val="06B26FD0"/>
    <w:rsid w:val="08422A5C"/>
    <w:rsid w:val="086E4958"/>
    <w:rsid w:val="09953426"/>
    <w:rsid w:val="0B02462B"/>
    <w:rsid w:val="0B932395"/>
    <w:rsid w:val="0CA361AF"/>
    <w:rsid w:val="0F006472"/>
    <w:rsid w:val="0F452233"/>
    <w:rsid w:val="101F7EA0"/>
    <w:rsid w:val="1045133B"/>
    <w:rsid w:val="10A058FA"/>
    <w:rsid w:val="12CF0A0A"/>
    <w:rsid w:val="15DA7788"/>
    <w:rsid w:val="16797F90"/>
    <w:rsid w:val="18CB0BE6"/>
    <w:rsid w:val="19CA4376"/>
    <w:rsid w:val="1A373484"/>
    <w:rsid w:val="1B494818"/>
    <w:rsid w:val="1C391ED3"/>
    <w:rsid w:val="1C3B7A96"/>
    <w:rsid w:val="1D887F78"/>
    <w:rsid w:val="1D8A32F4"/>
    <w:rsid w:val="1DD86A6A"/>
    <w:rsid w:val="1EB8717C"/>
    <w:rsid w:val="22405E47"/>
    <w:rsid w:val="22E75A40"/>
    <w:rsid w:val="24AE25E4"/>
    <w:rsid w:val="26AD2F89"/>
    <w:rsid w:val="26F83E3B"/>
    <w:rsid w:val="28014DFC"/>
    <w:rsid w:val="29373393"/>
    <w:rsid w:val="2AA83019"/>
    <w:rsid w:val="2C086409"/>
    <w:rsid w:val="2CB43679"/>
    <w:rsid w:val="2D4A0001"/>
    <w:rsid w:val="2DAE75DC"/>
    <w:rsid w:val="2F9A22C7"/>
    <w:rsid w:val="30633CCD"/>
    <w:rsid w:val="31FA731C"/>
    <w:rsid w:val="33A146B4"/>
    <w:rsid w:val="35187C93"/>
    <w:rsid w:val="35360EC6"/>
    <w:rsid w:val="35D97098"/>
    <w:rsid w:val="36830476"/>
    <w:rsid w:val="385B3BB6"/>
    <w:rsid w:val="39227BBC"/>
    <w:rsid w:val="39D91F92"/>
    <w:rsid w:val="3B5A7828"/>
    <w:rsid w:val="3C1A101E"/>
    <w:rsid w:val="40C90B3F"/>
    <w:rsid w:val="43BD69CC"/>
    <w:rsid w:val="44F4052E"/>
    <w:rsid w:val="47F06F31"/>
    <w:rsid w:val="495A058B"/>
    <w:rsid w:val="49C17126"/>
    <w:rsid w:val="4AAD2D32"/>
    <w:rsid w:val="4BDE1ABE"/>
    <w:rsid w:val="4CEB67F1"/>
    <w:rsid w:val="53646B9F"/>
    <w:rsid w:val="55457F80"/>
    <w:rsid w:val="55D34B7D"/>
    <w:rsid w:val="573318DD"/>
    <w:rsid w:val="57EE4E5E"/>
    <w:rsid w:val="5BEA0BEE"/>
    <w:rsid w:val="5C99592D"/>
    <w:rsid w:val="5DCC7515"/>
    <w:rsid w:val="5FED75C4"/>
    <w:rsid w:val="68494B77"/>
    <w:rsid w:val="68594AF9"/>
    <w:rsid w:val="69394D79"/>
    <w:rsid w:val="69456C76"/>
    <w:rsid w:val="6A6F6216"/>
    <w:rsid w:val="6C263B8F"/>
    <w:rsid w:val="6C834B9F"/>
    <w:rsid w:val="70462105"/>
    <w:rsid w:val="72172EBE"/>
    <w:rsid w:val="73E853C1"/>
    <w:rsid w:val="74393A30"/>
    <w:rsid w:val="75FC148A"/>
    <w:rsid w:val="76FF114B"/>
    <w:rsid w:val="77516029"/>
    <w:rsid w:val="7C077F27"/>
    <w:rsid w:val="7E906BB1"/>
    <w:rsid w:val="E77F2985"/>
    <w:rsid w:val="FEAF9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4">
    <w:name w:val="Plain Text"/>
    <w:basedOn w:val="1"/>
    <w:qFormat/>
    <w:uiPriority w:val="0"/>
    <w:pPr>
      <w:jc w:val="both"/>
    </w:pPr>
    <w:rPr>
      <w:rFonts w:ascii="宋体" w:hAnsi="Courier New" w:eastAsia="宋体" w:cs="Times New Roman"/>
      <w:kern w:val="2"/>
      <w:sz w:val="21"/>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apple-converted-space"/>
    <w:basedOn w:val="9"/>
    <w:qFormat/>
    <w:uiPriority w:val="0"/>
  </w:style>
  <w:style w:type="paragraph" w:customStyle="1" w:styleId="1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5063</Words>
  <Characters>6473</Characters>
  <Lines>6</Lines>
  <Paragraphs>1</Paragraphs>
  <TotalTime>1</TotalTime>
  <ScaleCrop>false</ScaleCrop>
  <LinksUpToDate>false</LinksUpToDate>
  <CharactersWithSpaces>6604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2018-08-10T23:21:00Z</dcterms:created>
  <dc:creator>lenovo</dc:creator>
  <cp:lastModifiedBy>user</cp:lastModifiedBy>
  <cp:lastPrinted>2024-06-18T16:57:00Z</cp:lastPrinted>
  <dcterms:modified xsi:type="dcterms:W3CDTF">2024-06-18T18:02:19Z</dcterms:modified>
  <dc:title>关于大理华鸿贸易有限公司危险废物经营许可证到期换证的公示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8189EE8B488049EC90CA2293169A01B4</vt:lpwstr>
  </property>
</Properties>
</file>