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right="0" w:rightChars="0"/>
        <w:textAlignment w:val="auto"/>
        <w:outlineLvl w:val="9"/>
        <w:rPr>
          <w:rFonts w:hint="default" w:ascii="宋体" w:hAnsi="宋体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宋体" w:hAnsi="宋体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方正小标宋_GBK" w:cs="方正小标宋_GBK"/>
          <w:sz w:val="44"/>
          <w:szCs w:val="44"/>
          <w:highlight w:val="none"/>
          <w:lang w:val="en-US" w:eastAsia="zh-CN"/>
        </w:rPr>
        <w:t>大理市进一步优化支付服务提升支付便利性工作时间表和路线图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8" w:lineRule="exact"/>
        <w:jc w:val="center"/>
        <w:textAlignment w:val="auto"/>
        <w:rPr>
          <w:rFonts w:hint="eastAsia" w:ascii="宋体" w:hAnsi="宋体" w:eastAsia="方正楷体_GBK" w:cs="方正楷体_GBK"/>
          <w:color w:val="000000"/>
          <w:sz w:val="32"/>
          <w:szCs w:val="32"/>
        </w:rPr>
      </w:pPr>
      <w:r>
        <w:rPr>
          <w:rFonts w:hint="eastAsia" w:ascii="宋体" w:hAnsi="宋体" w:eastAsia="方正楷体_GBK" w:cs="方正楷体_GBK"/>
          <w:color w:val="000000"/>
          <w:sz w:val="32"/>
          <w:szCs w:val="32"/>
        </w:rPr>
        <w:t>（银行服务）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5064"/>
        <w:gridCol w:w="336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color w:val="000000"/>
                <w:sz w:val="28"/>
                <w:szCs w:val="28"/>
              </w:rPr>
              <w:t>任务期限</w:t>
            </w:r>
          </w:p>
        </w:tc>
        <w:tc>
          <w:tcPr>
            <w:tcW w:w="5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color w:val="000000"/>
                <w:sz w:val="28"/>
                <w:szCs w:val="28"/>
              </w:rPr>
              <w:t>任务指标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eastAsia="方正黑体_GBK" w:cs="方正黑体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黑体_GBK" w:cs="方正黑体_GBK"/>
                <w:b w:val="0"/>
                <w:bCs w:val="0"/>
                <w:color w:val="000000"/>
                <w:sz w:val="28"/>
                <w:szCs w:val="28"/>
              </w:rPr>
              <w:t>家全国性银行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color w:val="000000"/>
                <w:sz w:val="28"/>
                <w:szCs w:val="28"/>
              </w:rPr>
              <w:t>地方性银行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3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2024年5月31日</w:t>
            </w:r>
          </w:p>
        </w:tc>
        <w:tc>
          <w:tcPr>
            <w:tcW w:w="5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ATM境外银行卡受理覆盖率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推进境外银行卡受理改造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3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5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支持简易开户网点完成率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90%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3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5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账户服务示范网点完成率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90%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推进示范网点建设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3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5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银行网点发放200个“零钱包”完成率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90%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3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2024年6月30日</w:t>
            </w:r>
          </w:p>
        </w:tc>
        <w:tc>
          <w:tcPr>
            <w:tcW w:w="5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ATM境外银行卡受理覆盖率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推进境外银行卡受理改造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3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5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支持简易开户网点完成率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3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5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账户服务示范网点完成率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推进示范网点建设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3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5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银行网点发放200个“零钱包”完成率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3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2024年9月30日</w:t>
            </w:r>
          </w:p>
        </w:tc>
        <w:tc>
          <w:tcPr>
            <w:tcW w:w="5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ATM境外银行卡受理覆盖率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推进境外银行卡受理改造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3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5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支持简易开户网点完成率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进一步推进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进一步推进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3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5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账户服务示范网点完成率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进一步推进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推进示范网点建设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3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5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银行网点发放200个“零钱包”完成率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根据需求动态调整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根据需求动态调整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300" w:right="941" w:bottom="300" w:left="9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D775A"/>
    <w:rsid w:val="197D775A"/>
    <w:rsid w:val="43386C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2024-05-20T06:44:00Z</dcterms:created>
  <dc:creator>王春鹏</dc:creator>
  <cp:lastModifiedBy>王春鹏</cp:lastModifiedBy>
  <dcterms:modified xsi:type="dcterms:W3CDTF">2024-05-20T06:47:51Z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5C02E7E900F54DB3A2896DAAD5D8766C</vt:lpwstr>
  </property>
</Properties>
</file>